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28"/>
          <w:szCs w:val="28"/>
        </w:rPr>
      </w:pPr>
      <w:bookmarkStart w:id="0" w:name="_GoBack"/>
      <w:r>
        <w:drawing>
          <wp:anchor distT="0" distB="0" distL="114300" distR="114300" simplePos="0" relativeHeight="251658240" behindDoc="1" locked="0" layoutInCell="1" allowOverlap="1">
            <wp:simplePos x="0" y="0"/>
            <wp:positionH relativeFrom="column">
              <wp:posOffset>-354330</wp:posOffset>
            </wp:positionH>
            <wp:positionV relativeFrom="paragraph">
              <wp:posOffset>-549910</wp:posOffset>
            </wp:positionV>
            <wp:extent cx="2769870" cy="573405"/>
            <wp:effectExtent l="0" t="0" r="11430" b="171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lum bright="20001"/>
                    </a:blip>
                    <a:stretch>
                      <a:fillRect/>
                    </a:stretch>
                  </pic:blipFill>
                  <pic:spPr>
                    <a:xfrm>
                      <a:off x="0" y="0"/>
                      <a:ext cx="2769870" cy="573405"/>
                    </a:xfrm>
                    <a:prstGeom prst="rect">
                      <a:avLst/>
                    </a:prstGeom>
                    <a:noFill/>
                    <a:ln>
                      <a:noFill/>
                    </a:ln>
                  </pic:spPr>
                </pic:pic>
              </a:graphicData>
            </a:graphic>
          </wp:anchor>
        </w:drawing>
      </w:r>
      <w:bookmarkEnd w:id="0"/>
      <w:r>
        <w:rPr>
          <w:rFonts w:hint="eastAsia" w:ascii="宋体" w:hAnsi="宋体" w:eastAsia="宋体"/>
          <w:b/>
          <w:sz w:val="28"/>
          <w:szCs w:val="28"/>
        </w:rPr>
        <w:t>案例分析空压系统节能减排新技术应用</w:t>
      </w:r>
    </w:p>
    <w:p>
      <w:pPr>
        <w:spacing w:line="360" w:lineRule="auto"/>
        <w:ind w:firstLine="480" w:firstLineChars="200"/>
        <w:rPr>
          <w:rFonts w:ascii="宋体" w:hAnsi="宋体" w:eastAsia="宋体"/>
          <w:sz w:val="24"/>
          <w:szCs w:val="24"/>
        </w:rPr>
      </w:pPr>
      <w:r>
        <w:rPr>
          <w:rFonts w:hint="eastAsia" w:ascii="宋体" w:hAnsi="宋体" w:eastAsia="宋体"/>
          <w:sz w:val="24"/>
          <w:szCs w:val="24"/>
        </w:rPr>
        <w:t>随着某厂规模越来越大，其压缩空气站装机容量已从每分钟数百立方逼近千立方</w:t>
      </w:r>
      <w:r>
        <w:rPr>
          <w:rFonts w:ascii="宋体" w:hAnsi="宋体" w:eastAsia="宋体"/>
          <w:sz w:val="24"/>
          <w:szCs w:val="24"/>
        </w:rPr>
        <w:t>;按气质要求可大致分为仪用气、输送气和一般工厂用气;根据地域和用途不同，目前在用的后处理设备多采用冷冻式、吸附式或冷冻+吸附组合式。近二十年来，空压机已由活塞式过渡到螺杆式，近年来一些大型空压站开始采用离心机或离心主供/螺杆调峰组合式。目前，在用各类压缩机几乎占用了全国发电量的10%，而与其配套的后处理设备能耗约占空压机输入功率的10%～20%，所以空压系统节能减排日益受到关注。本文主要结合某厂特点介绍目前空压机及其后处理设备在节能减排方</w:t>
      </w:r>
      <w:r>
        <w:rPr>
          <w:rFonts w:hint="eastAsia" w:ascii="宋体" w:hAnsi="宋体" w:eastAsia="宋体"/>
          <w:sz w:val="24"/>
          <w:szCs w:val="24"/>
        </w:rPr>
        <w:t>面的一些新动态和新技术，以供设计、采购、运行人员参考。</w:t>
      </w:r>
    </w:p>
    <w:p>
      <w:pPr>
        <w:spacing w:line="360" w:lineRule="auto"/>
        <w:ind w:firstLine="480" w:firstLineChars="200"/>
        <w:rPr>
          <w:rFonts w:ascii="宋体" w:hAnsi="宋体" w:eastAsia="宋体"/>
          <w:sz w:val="24"/>
          <w:szCs w:val="24"/>
        </w:rPr>
      </w:pPr>
      <w:r>
        <w:rPr>
          <w:rFonts w:ascii="宋体" w:hAnsi="宋体" w:eastAsia="宋体"/>
          <w:sz w:val="24"/>
          <w:szCs w:val="24"/>
        </w:rPr>
        <w:t>1、2012版压缩空气站设计规范有关空压机选型的条文及影响</w:t>
      </w:r>
    </w:p>
    <w:p>
      <w:pPr>
        <w:spacing w:line="360" w:lineRule="auto"/>
        <w:ind w:firstLine="480" w:firstLineChars="200"/>
        <w:rPr>
          <w:rFonts w:ascii="宋体" w:hAnsi="宋体" w:eastAsia="宋体"/>
          <w:sz w:val="24"/>
          <w:szCs w:val="24"/>
        </w:rPr>
      </w:pPr>
      <w:r>
        <w:rPr>
          <w:rFonts w:ascii="宋体" w:hAnsi="宋体" w:eastAsia="宋体"/>
          <w:sz w:val="24"/>
          <w:szCs w:val="24"/>
        </w:rPr>
        <w:t>1.1原文：新《规范》规定：当单台压缩机额定电机功率大于300kW时，不宜选用单级喷油螺杆压缩机。</w:t>
      </w:r>
    </w:p>
    <w:p>
      <w:pPr>
        <w:spacing w:line="360" w:lineRule="auto"/>
        <w:ind w:firstLine="480" w:firstLineChars="200"/>
        <w:rPr>
          <w:rFonts w:ascii="宋体" w:hAnsi="宋体" w:eastAsia="宋体"/>
          <w:sz w:val="24"/>
          <w:szCs w:val="24"/>
        </w:rPr>
      </w:pPr>
      <w:r>
        <w:rPr>
          <w:rFonts w:ascii="宋体" w:hAnsi="宋体" w:eastAsia="宋体"/>
          <w:sz w:val="24"/>
          <w:szCs w:val="24"/>
        </w:rPr>
        <w:t>1.2离心/螺杆组合工艺流程及说明</w:t>
      </w:r>
    </w:p>
    <w:p>
      <w:pPr>
        <w:spacing w:line="360" w:lineRule="auto"/>
        <w:ind w:firstLine="480" w:firstLineChars="200"/>
        <w:rPr>
          <w:rFonts w:ascii="宋体" w:hAnsi="宋体" w:eastAsia="宋体"/>
          <w:sz w:val="24"/>
          <w:szCs w:val="24"/>
        </w:rPr>
      </w:pPr>
      <w:r>
        <w:rPr>
          <w:rFonts w:ascii="宋体" w:hAnsi="宋体" w:eastAsia="宋体"/>
          <w:sz w:val="24"/>
          <w:szCs w:val="24"/>
        </w:rPr>
        <w:t>2、2012版压缩空气站设计规范有关于干燥器选型的条文</w:t>
      </w:r>
    </w:p>
    <w:p>
      <w:pPr>
        <w:spacing w:line="360" w:lineRule="auto"/>
        <w:ind w:firstLine="480" w:firstLineChars="200"/>
        <w:rPr>
          <w:rFonts w:ascii="宋体" w:hAnsi="宋体" w:eastAsia="宋体"/>
          <w:sz w:val="24"/>
          <w:szCs w:val="24"/>
        </w:rPr>
      </w:pPr>
      <w:r>
        <w:rPr>
          <w:rFonts w:ascii="宋体" w:hAnsi="宋体" w:eastAsia="宋体"/>
          <w:sz w:val="24"/>
          <w:szCs w:val="24"/>
        </w:rPr>
        <w:t>3、对冷冻+吸附的重新定义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冷干加吸附是干燥脱水装置中的一种特例，但作为一种基本配置大面积推广则是不可取的。毕竟它以两倍的占地面积、两倍的采购成本、两倍的压差和几乎两倍的运行费用去完成原本可用一台机完成的功能。真理往前走一步就变成谬论，但它的思路仍可借鉴，即空压机排气温度在常温时</w:t>
      </w:r>
      <w:r>
        <w:rPr>
          <w:rFonts w:ascii="宋体" w:hAnsi="宋体" w:eastAsia="宋体"/>
          <w:sz w:val="24"/>
          <w:szCs w:val="24"/>
        </w:rPr>
        <w:t>(25～45℃)，冷却除水是最经济适用的方法。</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分析</w:t>
      </w:r>
    </w:p>
    <w:p>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节能减排是国家大事，是空压系统设计、采购、运行的重要考量内容，吸附式干燥器应最大限度的利用系统中的热源和环境中的冷量，大胆采用新工艺、新结构、新技术、加速推进空压机站节能减排进程、利国、利民、利己。目前在用和正在设计选型中的吸附式干燥器、高能耗的一代机占</w:t>
      </w:r>
      <w:r>
        <w:rPr>
          <w:rFonts w:ascii="宋体" w:hAnsi="宋体" w:eastAsia="宋体"/>
          <w:sz w:val="24"/>
          <w:szCs w:val="24"/>
        </w:rPr>
        <w:t>95%以上，节能减排源头是设计选型，升级换代主体是制造商，客户是直接受益者，供货方不应利用消费者的幼稚和专业知识的缺乏去愚弄客户，而应培养促进消费者的成熟。限制无热，淘汰微热，发展有热，推广余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A7A"/>
    <w:rsid w:val="008B2A7A"/>
    <w:rsid w:val="00C809D1"/>
    <w:rsid w:val="07042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122</Words>
  <Characters>702</Characters>
  <Lines>5</Lines>
  <Paragraphs>1</Paragraphs>
  <TotalTime>0</TotalTime>
  <ScaleCrop>false</ScaleCrop>
  <LinksUpToDate>false</LinksUpToDate>
  <CharactersWithSpaces>823</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2017-08-01T02:32:00Z</dcterms:created>
  <dc:creator>ykygonhutiug@qq.com</dc:creator>
  <cp:lastModifiedBy>宁静致远</cp:lastModifiedBy>
  <dcterms:modified xsi:type="dcterms:W3CDTF">2019-10-28T01:05:40Z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